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5C2B8" w14:textId="3237C24B" w:rsidR="00DC03AB" w:rsidRPr="00DD27EC" w:rsidRDefault="00DD27EC" w:rsidP="00DC03AB">
      <w:pPr>
        <w:pStyle w:val="ImageCaption"/>
        <w:rPr>
          <w:rFonts w:asciiTheme="minorHAnsi" w:hAnsiTheme="minorHAnsi" w:cstheme="minorHAnsi"/>
          <w:iCs/>
        </w:rPr>
      </w:pPr>
      <w:r w:rsidRPr="00DD27EC">
        <w:rPr>
          <w:rFonts w:asciiTheme="minorHAnsi" w:hAnsiTheme="minorHAnsi" w:cstheme="minorHAnsi"/>
          <w:iCs/>
        </w:rPr>
        <w:t>To assess if we can retrieve the same estimates for a period using different surveys (conducted in different years), we constructed two figures in this supplementary material. Figures SM1 and SM2 report estimates of age-specific mortality rates and adult mortality probability for the same period 1/1/2017 to 1/1/2019. Even though the point-estimates of age specific mortality rates differ due to the irregularity of the data, we obtained similar values of adult mortality probability, with overlapping lower and upper bound values.</w:t>
      </w:r>
    </w:p>
    <w:p w14:paraId="59B227E4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76B1E6BC" w14:textId="7E81EA6B" w:rsidR="00DC03AB" w:rsidRDefault="00DC03AB" w:rsidP="00DC03AB">
      <w:pPr>
        <w:pStyle w:val="ImageCaption"/>
        <w:rPr>
          <w:rFonts w:asciiTheme="minorHAnsi" w:hAnsiTheme="minorHAnsi" w:cstheme="minorHAnsi"/>
          <w:iCs/>
        </w:rPr>
      </w:pPr>
      <w:r w:rsidRPr="00DC03AB">
        <w:rPr>
          <w:rFonts w:asciiTheme="minorHAnsi" w:hAnsiTheme="minorHAnsi" w:cstheme="minorHAnsi"/>
          <w:b/>
          <w:bCs/>
          <w:iCs/>
        </w:rPr>
        <w:t xml:space="preserve">Figure </w:t>
      </w:r>
      <w:r w:rsidR="00DD27EC">
        <w:rPr>
          <w:rFonts w:asciiTheme="minorHAnsi" w:hAnsiTheme="minorHAnsi" w:cstheme="minorHAnsi"/>
          <w:b/>
          <w:bCs/>
          <w:iCs/>
        </w:rPr>
        <w:t>SM</w:t>
      </w:r>
      <w:r w:rsidRPr="00DC03AB">
        <w:rPr>
          <w:rFonts w:asciiTheme="minorHAnsi" w:hAnsiTheme="minorHAnsi" w:cstheme="minorHAnsi"/>
          <w:b/>
          <w:bCs/>
          <w:iCs/>
        </w:rPr>
        <w:t>1:</w:t>
      </w:r>
      <w:r w:rsidRPr="00DC03AB">
        <w:rPr>
          <w:rFonts w:asciiTheme="minorHAnsi" w:hAnsiTheme="minorHAnsi" w:cstheme="minorHAnsi"/>
          <w:iCs/>
        </w:rPr>
        <w:t xml:space="preserve"> Age-specific mortality rates (five-year age groups between 20 and 64) – point estimates by sex from the household deaths inquiry</w:t>
      </w:r>
      <w:r>
        <w:rPr>
          <w:rFonts w:asciiTheme="minorHAnsi" w:hAnsiTheme="minorHAnsi" w:cstheme="minorHAnsi"/>
          <w:iCs/>
        </w:rPr>
        <w:t xml:space="preserve"> for the period 1/1/2017 to 1/1/2019 using different surveys</w:t>
      </w:r>
      <w:r w:rsidRPr="00DC03AB">
        <w:rPr>
          <w:rFonts w:asciiTheme="minorHAnsi" w:hAnsiTheme="minorHAnsi" w:cstheme="minorHAnsi"/>
          <w:iCs/>
        </w:rPr>
        <w:t>. Peru, ENDES, 2018, 2019, 2021 and 2022.</w:t>
      </w:r>
    </w:p>
    <w:p w14:paraId="57531DDC" w14:textId="77777777" w:rsidR="00DC03AB" w:rsidRPr="00DC03AB" w:rsidRDefault="00DC03AB" w:rsidP="00DC03AB">
      <w:pPr>
        <w:pStyle w:val="ImageCaption"/>
        <w:rPr>
          <w:rFonts w:asciiTheme="minorHAnsi" w:hAnsiTheme="minorHAnsi" w:cstheme="minorHAnsi"/>
          <w:i/>
          <w:iCs/>
        </w:rPr>
      </w:pPr>
    </w:p>
    <w:p w14:paraId="75755ADE" w14:textId="6BA56B4F" w:rsidR="003B2B79" w:rsidRDefault="00DC03AB">
      <w:r>
        <w:rPr>
          <w:noProof/>
        </w:rPr>
        <w:drawing>
          <wp:inline distT="0" distB="0" distL="0" distR="0" wp14:anchorId="4412B4A1" wp14:editId="2915146C">
            <wp:extent cx="5612130" cy="2806065"/>
            <wp:effectExtent l="0" t="0" r="7620" b="0"/>
            <wp:docPr id="958563694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563694" name="Graphic 95856369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57335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7F5C5D83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61F435AA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674922DD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45F17B11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31A1FB93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7343DEA1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36E6CDCF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6E7202C8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36B50BDA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0CF951B2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036C6A61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4F02E7E7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0E7FB72B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7EF8A456" w14:textId="77777777" w:rsidR="00DD27EC" w:rsidRDefault="00DD27EC" w:rsidP="00DC03AB">
      <w:pPr>
        <w:pStyle w:val="ImageCaption"/>
        <w:rPr>
          <w:rFonts w:asciiTheme="minorHAnsi" w:hAnsiTheme="minorHAnsi" w:cstheme="minorHAnsi"/>
          <w:b/>
          <w:bCs/>
          <w:iCs/>
        </w:rPr>
      </w:pPr>
    </w:p>
    <w:p w14:paraId="20C14689" w14:textId="54A2A74A" w:rsidR="00DC03AB" w:rsidRDefault="00DC03AB" w:rsidP="00DC03AB">
      <w:pPr>
        <w:pStyle w:val="ImageCaption"/>
        <w:rPr>
          <w:rFonts w:asciiTheme="minorHAnsi" w:hAnsiTheme="minorHAnsi" w:cstheme="minorHAnsi"/>
          <w:iCs/>
        </w:rPr>
      </w:pPr>
      <w:r w:rsidRPr="00DC03AB">
        <w:rPr>
          <w:rFonts w:asciiTheme="minorHAnsi" w:hAnsiTheme="minorHAnsi" w:cstheme="minorHAnsi"/>
          <w:b/>
          <w:bCs/>
          <w:iCs/>
        </w:rPr>
        <w:lastRenderedPageBreak/>
        <w:t xml:space="preserve">Figure </w:t>
      </w:r>
      <w:r w:rsidR="00DD27EC">
        <w:rPr>
          <w:rFonts w:asciiTheme="minorHAnsi" w:hAnsiTheme="minorHAnsi" w:cstheme="minorHAnsi"/>
          <w:b/>
          <w:bCs/>
          <w:iCs/>
        </w:rPr>
        <w:t>SM</w:t>
      </w:r>
      <w:r w:rsidRPr="00DC03AB">
        <w:rPr>
          <w:rFonts w:asciiTheme="minorHAnsi" w:hAnsiTheme="minorHAnsi" w:cstheme="minorHAnsi"/>
          <w:b/>
          <w:bCs/>
          <w:iCs/>
        </w:rPr>
        <w:t>2</w:t>
      </w:r>
      <w:r w:rsidRPr="00DC03AB">
        <w:rPr>
          <w:rFonts w:asciiTheme="minorHAnsi" w:hAnsiTheme="minorHAnsi" w:cstheme="minorHAnsi"/>
          <w:b/>
          <w:bCs/>
          <w:iCs/>
        </w:rPr>
        <w:t>:</w:t>
      </w:r>
      <w:r w:rsidRPr="00DC03AB">
        <w:rPr>
          <w:rFonts w:asciiTheme="minorHAnsi" w:hAnsiTheme="minorHAnsi" w:cstheme="minorHAnsi"/>
          <w:iCs/>
        </w:rPr>
        <w:t xml:space="preserve"> Adult mortality probability (between 20 and 64), by sex – estimates from household deaths inquiry</w:t>
      </w:r>
      <w:r>
        <w:rPr>
          <w:rFonts w:asciiTheme="minorHAnsi" w:hAnsiTheme="minorHAnsi" w:cstheme="minorHAnsi"/>
          <w:iCs/>
        </w:rPr>
        <w:t xml:space="preserve"> for the period 1/1/2017 to 1/1/2019 using different ENDES surveys</w:t>
      </w:r>
      <w:r w:rsidRPr="00DC03AB">
        <w:rPr>
          <w:rFonts w:asciiTheme="minorHAnsi" w:hAnsiTheme="minorHAnsi" w:cstheme="minorHAnsi"/>
          <w:iCs/>
        </w:rPr>
        <w:t>. Peru, ENDES, 2018, 2019, 2021 and 2022.</w:t>
      </w:r>
    </w:p>
    <w:p w14:paraId="76217921" w14:textId="77777777" w:rsidR="00DC03AB" w:rsidRPr="00DC03AB" w:rsidRDefault="00DC03AB" w:rsidP="00DC03AB">
      <w:pPr>
        <w:pStyle w:val="ImageCaption"/>
        <w:rPr>
          <w:rFonts w:asciiTheme="minorHAnsi" w:hAnsiTheme="minorHAnsi" w:cstheme="minorHAnsi"/>
          <w:i/>
          <w:iCs/>
        </w:rPr>
      </w:pPr>
    </w:p>
    <w:p w14:paraId="72125B78" w14:textId="4C4F5219" w:rsidR="00DC03AB" w:rsidRDefault="00DC03AB">
      <w:r>
        <w:rPr>
          <w:noProof/>
        </w:rPr>
        <w:drawing>
          <wp:inline distT="0" distB="0" distL="0" distR="0" wp14:anchorId="1A0D6745" wp14:editId="3BFFD0C6">
            <wp:extent cx="5612130" cy="2806065"/>
            <wp:effectExtent l="0" t="0" r="7620" b="0"/>
            <wp:docPr id="896394980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94980" name="Graphic 89639498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03AB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3AB"/>
    <w:rsid w:val="00081D8D"/>
    <w:rsid w:val="00235626"/>
    <w:rsid w:val="003B2B79"/>
    <w:rsid w:val="007A24FA"/>
    <w:rsid w:val="008F64DE"/>
    <w:rsid w:val="00DC03AB"/>
    <w:rsid w:val="00DD27EC"/>
    <w:rsid w:val="00FC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A91A9"/>
  <w15:chartTrackingRefBased/>
  <w15:docId w15:val="{F73C5342-EEEE-47C2-82BA-8C3F8DC9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03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03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03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03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03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03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03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03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03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03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03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03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03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03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03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03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03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03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03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03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03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03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03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03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03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03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03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03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03AB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03A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mageCaption">
    <w:name w:val="Image Caption"/>
    <w:basedOn w:val="Caption"/>
    <w:qFormat/>
    <w:rsid w:val="00DC03AB"/>
    <w:pPr>
      <w:spacing w:after="0"/>
      <w:jc w:val="both"/>
    </w:pPr>
    <w:rPr>
      <w:rFonts w:asciiTheme="majorHAnsi" w:hAnsiTheme="majorHAnsi"/>
      <w:i w:val="0"/>
      <w:iCs w:val="0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H C Monteiro da Silva</dc:creator>
  <cp:keywords/>
  <dc:description/>
  <cp:lastModifiedBy>José H C Monteiro da Silva</cp:lastModifiedBy>
  <cp:revision>2</cp:revision>
  <dcterms:created xsi:type="dcterms:W3CDTF">2024-06-20T09:50:00Z</dcterms:created>
  <dcterms:modified xsi:type="dcterms:W3CDTF">2024-06-20T10:03:00Z</dcterms:modified>
</cp:coreProperties>
</file>